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 w:line="206" w:lineRule="auto"/>
        <w:ind w:left="2224" w:right="831" w:hanging="1685"/>
        <w:jc w:val="center"/>
        <w:rPr>
          <w:rFonts w:ascii="方正小标宋简体" w:hAnsi="方正小标宋简体" w:eastAsia="方正小标宋简体" w:cs="方正小标宋简体"/>
          <w:b/>
          <w:bCs/>
          <w:color w:val="FF0000"/>
          <w:spacing w:val="-36"/>
          <w:w w:val="95"/>
          <w:sz w:val="72"/>
          <w:szCs w:val="72"/>
          <w:lang w:val="zh-CN" w:bidi="zh-CN"/>
        </w:rPr>
      </w:pPr>
      <w:r>
        <w:rPr>
          <w:rFonts w:hint="eastAsia" w:ascii="方正小标宋简体" w:hAnsi="方正小标宋简体" w:eastAsia="方正小标宋简体" w:cs="方正小标宋简体"/>
          <w:b/>
          <w:bCs/>
          <w:color w:val="FF0000"/>
          <w:spacing w:val="-36"/>
          <w:w w:val="95"/>
          <w:sz w:val="72"/>
          <w:szCs w:val="72"/>
          <w:lang w:val="zh-CN" w:bidi="zh-CN"/>
        </w:rPr>
        <w:t>广元市住房公积金管理中心</w:t>
      </w:r>
    </w:p>
    <w:p>
      <w:pPr>
        <w:spacing w:before="15" w:line="206" w:lineRule="auto"/>
        <w:ind w:left="2224" w:right="831" w:hanging="1685"/>
        <w:jc w:val="center"/>
        <w:rPr>
          <w:rFonts w:ascii="方正小标宋简体" w:hAnsi="方正小标宋简体" w:eastAsia="方正小标宋简体" w:cs="方正小标宋简体"/>
          <w:b/>
          <w:bCs/>
          <w:color w:val="FF0000"/>
          <w:spacing w:val="-36"/>
          <w:w w:val="95"/>
          <w:sz w:val="72"/>
          <w:szCs w:val="72"/>
          <w:lang w:val="zh-CN" w:bidi="zh-CN"/>
        </w:rPr>
      </w:pPr>
      <w:r>
        <w:rPr>
          <w:rFonts w:hint="eastAsia" w:ascii="方正小标宋简体" w:hAnsi="方正小标宋简体" w:eastAsia="方正小标宋简体" w:cs="方正小标宋简体"/>
          <w:b/>
          <w:bCs/>
          <w:color w:val="FF0000"/>
          <w:spacing w:val="-36"/>
          <w:w w:val="95"/>
          <w:sz w:val="72"/>
          <w:szCs w:val="72"/>
          <w:lang w:val="zh-CN" w:bidi="zh-CN"/>
        </w:rPr>
        <w:t>精神文明建设工作动态</w:t>
      </w:r>
    </w:p>
    <w:p>
      <w:pPr>
        <w:pStyle w:val="3"/>
        <w:spacing w:before="157" w:line="556" w:lineRule="exact"/>
        <w:ind w:left="223" w:right="404"/>
        <w:jc w:val="center"/>
        <w:rPr>
          <w:rFonts w:ascii="Arial Unicode MS" w:eastAsia="Arial Unicode MS"/>
        </w:rPr>
      </w:pPr>
      <w:r>
        <w:rPr>
          <w:rFonts w:hint="eastAsia" w:ascii="Arial Unicode MS" w:eastAsia="Arial Unicode MS"/>
          <w:lang w:val="en-US"/>
        </w:rPr>
        <w:t xml:space="preserve">2019 </w:t>
      </w:r>
      <w:r>
        <w:rPr>
          <w:rFonts w:hint="eastAsia" w:ascii="Arial Unicode MS" w:eastAsia="Arial Unicode MS"/>
        </w:rPr>
        <w:t>年</w:t>
      </w:r>
      <w:r>
        <w:rPr>
          <w:rFonts w:hint="eastAsia" w:ascii="Arial Unicode MS" w:eastAsia="Arial Unicode MS"/>
          <w:lang w:val="en-US"/>
        </w:rPr>
        <w:t xml:space="preserve"> </w:t>
      </w:r>
      <w:r>
        <w:rPr>
          <w:rFonts w:hint="eastAsia" w:ascii="Arial Unicode MS" w:eastAsia="Arial Unicode MS"/>
        </w:rPr>
        <w:t xml:space="preserve">第 </w:t>
      </w:r>
      <w:r>
        <w:rPr>
          <w:rFonts w:hint="eastAsia" w:ascii="Arial Unicode MS" w:eastAsia="Arial Unicode MS"/>
          <w:lang w:val="en-US"/>
        </w:rPr>
        <w:t>6</w:t>
      </w:r>
      <w:r>
        <w:rPr>
          <w:rFonts w:hint="eastAsia" w:ascii="Arial Unicode MS" w:eastAsia="Arial Unicode MS"/>
        </w:rPr>
        <w:t xml:space="preserve"> 期</w:t>
      </w:r>
    </w:p>
    <w:p>
      <w:pPr>
        <w:pStyle w:val="3"/>
        <w:spacing w:before="157" w:line="556" w:lineRule="exact"/>
        <w:ind w:left="223" w:right="404"/>
        <w:jc w:val="center"/>
        <w:rPr>
          <w:rFonts w:ascii="Arial Unicode MS" w:eastAsia="Arial Unicode MS"/>
        </w:rPr>
      </w:pPr>
    </w:p>
    <w:p>
      <w:pPr>
        <w:tabs>
          <w:tab w:val="left" w:pos="6019"/>
          <w:tab w:val="left" w:pos="7668"/>
        </w:tabs>
        <w:spacing w:line="358" w:lineRule="exact"/>
        <w:ind w:right="176" w:firstLine="280" w:firstLineChars="100"/>
        <w:rPr>
          <w:sz w:val="28"/>
        </w:rPr>
      </w:pPr>
      <w:r>
        <w:rPr>
          <w:rFonts w:ascii="宋体" w:eastAsia="宋体"/>
          <w:sz w:val="28"/>
        </w:rPr>
        <mc:AlternateContent>
          <mc:Choice Requires="wps">
            <w:drawing>
              <wp:anchor distT="0" distB="0" distL="114300" distR="114300" simplePos="0" relativeHeight="287907840" behindDoc="1" locked="0" layoutInCell="1" allowOverlap="1">
                <wp:simplePos x="0" y="0"/>
                <wp:positionH relativeFrom="page">
                  <wp:posOffset>993140</wp:posOffset>
                </wp:positionH>
                <wp:positionV relativeFrom="paragraph">
                  <wp:posOffset>291465</wp:posOffset>
                </wp:positionV>
                <wp:extent cx="5504815" cy="9525"/>
                <wp:effectExtent l="0" t="0" r="0" b="0"/>
                <wp:wrapTopAndBottom/>
                <wp:docPr id="1072" name="直接连接符 1072"/>
                <wp:cNvGraphicFramePr/>
                <a:graphic xmlns:a="http://schemas.openxmlformats.org/drawingml/2006/main">
                  <a:graphicData uri="http://schemas.microsoft.com/office/word/2010/wordprocessingShape">
                    <wps:wsp>
                      <wps:cNvCnPr/>
                      <wps:spPr>
                        <a:xfrm flipV="1">
                          <a:off x="0" y="0"/>
                          <a:ext cx="5504815" cy="952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8.2pt;margin-top:22.95pt;height:0.75pt;width:433.45pt;mso-position-horizontal-relative:page;mso-wrap-distance-bottom:0pt;mso-wrap-distance-top:0pt;z-index:-215408640;mso-width-relative:page;mso-height-relative:page;" filled="f" stroked="t" coordsize="21600,21600" o:gfxdata="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zyKN2wAAAAoBAAAPAAAAAAAAAAEAIAAA&#10;ACIAAABkcnMvZG93bnJldi54bWxQSwECFAAUAAAACACHTuJA0/Gj0QkCAAAGBAAADgAAAAAAAAAB&#10;ACAAAAAqAQAAZHJzL2Uyb0RvYy54bWxQSwUGAAAAAAYABgBZAQAApQUAAAAA&#10;">
                <v:fill on="f" focussize="0,0"/>
                <v:stroke weight="2.25pt" color="#FF0000" joinstyle="round"/>
                <v:imagedata o:title=""/>
                <o:lock v:ext="edit" aspectratio="f"/>
                <w10:wrap type="topAndBottom"/>
              </v:line>
            </w:pict>
          </mc:Fallback>
        </mc:AlternateContent>
      </w:r>
      <w:r>
        <w:rPr>
          <w:rFonts w:hint="eastAsia" w:ascii="宋体" w:eastAsia="宋体"/>
          <w:sz w:val="28"/>
        </w:rPr>
        <w:t>广元市住房公积金管理中心</w:t>
      </w:r>
      <w:r>
        <w:rPr>
          <w:rFonts w:hint="eastAsia" w:ascii="宋体" w:eastAsia="宋体"/>
          <w:sz w:val="28"/>
          <w:lang w:eastAsia="zh-CN"/>
        </w:rPr>
        <w:t>办公室</w:t>
      </w:r>
      <w:r>
        <w:rPr>
          <w:rFonts w:hint="eastAsia" w:ascii="宋体" w:eastAsia="宋体"/>
          <w:sz w:val="28"/>
          <w:lang w:val="en-US" w:eastAsia="zh-CN"/>
        </w:rPr>
        <w:t xml:space="preserve">         </w:t>
      </w:r>
      <w:r>
        <w:rPr>
          <w:rFonts w:hint="eastAsia" w:ascii="宋体" w:eastAsia="宋体"/>
          <w:sz w:val="28"/>
        </w:rPr>
        <w:t>2019 年 11 月 29 日</w:t>
      </w:r>
    </w:p>
    <w:p>
      <w:pPr>
        <w:pStyle w:val="3"/>
        <w:autoSpaceDE w:val="0"/>
        <w:autoSpaceDN w:val="0"/>
      </w:pPr>
    </w:p>
    <w:p>
      <w:pPr>
        <w:pStyle w:val="3"/>
        <w:autoSpaceDE w:val="0"/>
        <w:autoSpaceDN w:val="0"/>
        <w:spacing w:line="360" w:lineRule="auto"/>
        <w:ind w:left="119"/>
      </w:pPr>
      <w:r>
        <w:t>*资金归集科：学习“时代楷模” 争做时代先锋</w:t>
      </w:r>
    </w:p>
    <w:p>
      <w:pPr>
        <w:pStyle w:val="3"/>
        <w:autoSpaceDE w:val="0"/>
        <w:autoSpaceDN w:val="0"/>
        <w:spacing w:line="360" w:lineRule="auto"/>
        <w:ind w:left="119"/>
      </w:pPr>
      <w:r>
        <w:t>*管理中心开展“党性修养”专题集中夜学学习研讨</w:t>
      </w:r>
    </w:p>
    <w:p>
      <w:pPr>
        <w:pStyle w:val="3"/>
        <w:autoSpaceDE w:val="0"/>
        <w:autoSpaceDN w:val="0"/>
        <w:spacing w:line="360" w:lineRule="auto"/>
        <w:ind w:left="119"/>
      </w:pPr>
      <w:r>
        <w:t>*管理中心领导到青川马公乡督导脱贫攻坚工作</w:t>
      </w:r>
    </w:p>
    <w:p>
      <w:pPr>
        <w:pStyle w:val="11"/>
        <w:autoSpaceDE w:val="0"/>
        <w:autoSpaceDN w:val="0"/>
        <w:spacing w:line="360" w:lineRule="auto"/>
        <w:jc w:val="left"/>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窗体底端</w:t>
      </w:r>
    </w:p>
    <w:p>
      <w:pPr>
        <w:autoSpaceDE w:val="0"/>
        <w:autoSpaceDN w:val="0"/>
        <w:spacing w:line="360" w:lineRule="auto"/>
        <w:rPr>
          <w:rFonts w:ascii="仿宋_GB2312" w:hAnsi="仿宋_GB2312" w:eastAsia="仿宋_GB2312" w:cs="仿宋_GB2312"/>
          <w:kern w:val="0"/>
          <w:sz w:val="32"/>
          <w:szCs w:val="32"/>
          <w:lang w:val="zh-CN" w:bidi="zh-CN"/>
        </w:rPr>
      </w:pPr>
    </w:p>
    <w:p>
      <w:pPr>
        <w:pStyle w:val="11"/>
        <w:autoSpaceDE w:val="0"/>
        <w:autoSpaceDN w:val="0"/>
        <w:spacing w:line="360" w:lineRule="auto"/>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窗体底端</w:t>
      </w:r>
    </w:p>
    <w:p>
      <w:pPr>
        <w:pStyle w:val="12"/>
        <w:autoSpaceDE w:val="0"/>
        <w:autoSpaceDN w:val="0"/>
        <w:spacing w:line="360" w:lineRule="auto"/>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窗体顶端</w:t>
      </w:r>
    </w:p>
    <w:p>
      <w:pPr>
        <w:pStyle w:val="2"/>
        <w:widowControl/>
        <w:autoSpaceDE w:val="0"/>
        <w:autoSpaceDN w:val="0"/>
        <w:spacing w:before="0" w:beforeAutospacing="0" w:after="0" w:afterAutospacing="0" w:line="360" w:lineRule="auto"/>
        <w:jc w:val="center"/>
        <w:rPr>
          <w:rFonts w:hint="eastAsia" w:ascii="方正小标宋简体" w:hAnsi="方正小标宋简体" w:eastAsia="方正小标宋简体" w:cs="方正小标宋简体"/>
          <w:b w:val="0"/>
          <w:kern w:val="0"/>
          <w:sz w:val="32"/>
          <w:szCs w:val="32"/>
          <w:lang w:val="zh-CN" w:bidi="zh-CN"/>
        </w:rPr>
      </w:pPr>
      <w:r>
        <w:rPr>
          <w:rFonts w:hint="eastAsia" w:ascii="方正小标宋简体" w:hAnsi="方正小标宋简体" w:eastAsia="方正小标宋简体" w:cs="方正小标宋简体"/>
          <w:kern w:val="0"/>
          <w:sz w:val="32"/>
          <w:szCs w:val="22"/>
          <w:lang w:val="zh-CN" w:bidi="zh-CN"/>
        </w:rPr>
        <w:t>资金归集科：学习“时代楷模” 争做时代先锋</w:t>
      </w:r>
    </w:p>
    <w:p>
      <w:pPr>
        <w:pStyle w:val="7"/>
        <w:widowControl/>
        <w:autoSpaceDE w:val="0"/>
        <w:autoSpaceDN w:val="0"/>
        <w:spacing w:before="0" w:beforeAutospacing="0" w:after="0" w:afterAutospacing="0" w:line="360" w:lineRule="auto"/>
        <w:ind w:firstLine="645"/>
        <w:rPr>
          <w:rFonts w:ascii="仿宋_GB2312" w:hAnsi="仿宋_GB2312" w:eastAsia="仿宋_GB2312" w:cs="仿宋_GB2312"/>
          <w:sz w:val="32"/>
          <w:szCs w:val="32"/>
          <w:lang w:val="zh-CN" w:bidi="zh-CN"/>
        </w:rPr>
      </w:pPr>
      <w:r>
        <w:rPr>
          <w:rFonts w:ascii="仿宋_GB2312" w:hAnsi="仿宋_GB2312" w:eastAsia="仿宋_GB2312" w:cs="仿宋_GB2312"/>
          <w:sz w:val="32"/>
          <w:szCs w:val="32"/>
          <w:lang w:val="zh-CN" w:bidi="zh-CN"/>
        </w:rPr>
        <w:t>为深入推进“不忘初心，牢记使命”主题教育，10月12日资金归集科组织全体职工集体观看了“时代楷模”其美多吉、张富清先进事迹报告会视频。</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lang w:val="zh-CN" w:bidi="zh-CN"/>
        </w:rPr>
      </w:pPr>
      <w:r>
        <w:rPr>
          <w:rFonts w:ascii="仿宋_GB2312" w:hAnsi="仿宋_GB2312" w:eastAsia="仿宋_GB2312" w:cs="仿宋_GB2312"/>
          <w:sz w:val="32"/>
          <w:szCs w:val="32"/>
          <w:lang w:val="zh-CN" w:bidi="zh-CN"/>
        </w:rPr>
        <w:t>通过学习“时代楷模”先进事迹，大家深受启发，也深深感到自己身上还存在的差距，纷纷表示：一是要深刻理解中国共产党人的初心和使命，那就是为中国人民谋幸福，为中华民族谋复兴。二是要牢固树立以人民为中心的发展理念，在办理公积金缴存、提取业务中要时刻把缴存单位和缴存职工的所期所盼放在心中，把维护缴存职工的切身利益摆在突出位置，把提高缴存职工满意度作为工作的最高追求。三是要聚焦全年目标任务，认真履职担当，持续用力攻坚克难,确保全年目标任务的全面完成，在平凡的岗位上为公积金事业高质量发展做出自己的贡献。（资金归集科）</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lang w:val="zh-CN" w:bidi="zh-CN"/>
        </w:rPr>
      </w:pPr>
    </w:p>
    <w:p>
      <w:pPr>
        <w:pStyle w:val="11"/>
        <w:keepNext w:val="0"/>
        <w:keepLines w:val="0"/>
        <w:pageBreakBefore w:val="0"/>
        <w:kinsoku/>
        <w:wordWrap/>
        <w:overflowPunct/>
        <w:topLinePunct w:val="0"/>
        <w:autoSpaceDE w:val="0"/>
        <w:autoSpaceDN w:val="0"/>
        <w:bidi w:val="0"/>
        <w:adjustRightInd/>
        <w:snapToGrid/>
        <w:spacing w:line="560" w:lineRule="exact"/>
        <w:textAlignment w:val="auto"/>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窗体底端</w:t>
      </w:r>
    </w:p>
    <w:p>
      <w:pPr>
        <w:pStyle w:val="12"/>
        <w:keepNext w:val="0"/>
        <w:keepLines w:val="0"/>
        <w:pageBreakBefore w:val="0"/>
        <w:kinsoku/>
        <w:wordWrap/>
        <w:overflowPunct/>
        <w:topLinePunct w:val="0"/>
        <w:autoSpaceDE w:val="0"/>
        <w:autoSpaceDN w:val="0"/>
        <w:bidi w:val="0"/>
        <w:adjustRightInd/>
        <w:snapToGrid/>
        <w:spacing w:line="560" w:lineRule="exact"/>
        <w:textAlignment w:val="auto"/>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窗体顶端</w:t>
      </w:r>
    </w:p>
    <w:p>
      <w:pPr>
        <w:pStyle w:val="2"/>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jc w:val="center"/>
        <w:textAlignment w:val="auto"/>
        <w:rPr>
          <w:rFonts w:ascii="微软雅黑" w:hAnsi="仿宋_GB2312" w:eastAsia="微软雅黑" w:cs="仿宋_GB2312"/>
          <w:kern w:val="0"/>
          <w:sz w:val="32"/>
          <w:szCs w:val="22"/>
          <w:lang w:val="zh-CN" w:bidi="zh-CN"/>
        </w:rPr>
      </w:pPr>
      <w:r>
        <w:rPr>
          <w:rFonts w:ascii="微软雅黑" w:hAnsi="仿宋_GB2312" w:eastAsia="微软雅黑" w:cs="仿宋_GB2312"/>
          <w:kern w:val="0"/>
          <w:sz w:val="32"/>
          <w:szCs w:val="22"/>
          <w:lang w:val="zh-CN" w:bidi="zh-CN"/>
        </w:rPr>
        <w:t>管理中心开展“党性修养”专题集中夜学学习研讨</w:t>
      </w:r>
    </w:p>
    <w:p>
      <w:pPr>
        <w:pStyle w:val="11"/>
        <w:keepNext w:val="0"/>
        <w:keepLines w:val="0"/>
        <w:pageBreakBefore w:val="0"/>
        <w:kinsoku/>
        <w:wordWrap/>
        <w:overflowPunct/>
        <w:topLinePunct w:val="0"/>
        <w:autoSpaceDE w:val="0"/>
        <w:autoSpaceDN w:val="0"/>
        <w:bidi w:val="0"/>
        <w:adjustRightInd/>
        <w:snapToGrid/>
        <w:spacing w:line="560" w:lineRule="exact"/>
        <w:textAlignment w:val="auto"/>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窗体底端</w:t>
      </w:r>
    </w:p>
    <w:p>
      <w:pPr>
        <w:pStyle w:val="12"/>
        <w:keepNext w:val="0"/>
        <w:keepLines w:val="0"/>
        <w:pageBreakBefore w:val="0"/>
        <w:kinsoku/>
        <w:wordWrap/>
        <w:overflowPunct/>
        <w:topLinePunct w:val="0"/>
        <w:autoSpaceDE w:val="0"/>
        <w:autoSpaceDN w:val="0"/>
        <w:bidi w:val="0"/>
        <w:adjustRightInd/>
        <w:snapToGrid/>
        <w:spacing w:line="560" w:lineRule="exact"/>
        <w:textAlignment w:val="auto"/>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窗体顶端</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lang w:val="zh-CN" w:bidi="zh-CN"/>
        </w:rPr>
      </w:pPr>
      <w:r>
        <w:rPr>
          <w:rFonts w:ascii="仿宋_GB2312" w:hAnsi="仿宋_GB2312" w:eastAsia="仿宋_GB2312" w:cs="仿宋_GB2312"/>
          <w:sz w:val="32"/>
          <w:szCs w:val="32"/>
          <w:lang w:val="zh-CN" w:bidi="zh-CN"/>
        </w:rPr>
        <w:t>10月29日晚上，市住房公积金管理中心“不忘初心、牢记使命”主题教育党员领导干部集中夜学第五次学习研讨会召开，党组书记杨海生主持会议，党组班子全体成员参会，各支部书记列席会议。</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6"/>
        <w:textAlignment w:val="auto"/>
        <w:rPr>
          <w:rFonts w:ascii="仿宋_GB2312" w:hAnsi="仿宋_GB2312" w:eastAsia="仿宋_GB2312" w:cs="仿宋_GB2312"/>
          <w:sz w:val="32"/>
          <w:szCs w:val="32"/>
          <w:lang w:val="zh-CN" w:bidi="zh-CN"/>
        </w:rPr>
      </w:pPr>
      <w:r>
        <w:rPr>
          <w:rFonts w:ascii="仿宋_GB2312" w:hAnsi="仿宋_GB2312" w:eastAsia="仿宋_GB2312" w:cs="仿宋_GB2312"/>
          <w:sz w:val="32"/>
          <w:szCs w:val="32"/>
          <w:lang w:val="zh-CN" w:bidi="zh-CN"/>
        </w:rPr>
        <w:t>会议组织学习了《习近平关于“不忘初心、牢记使命”重要论述选编》——忠于党、忠于人民、无私奉献，是共产党人的优秀品质；辩证唯物主义是中国共产党人的世界观和方法论，《习近平新时代中国特色社会主义思想学习纲要》——坚定道路自信、理论自信、制度自信、文化自信。随后，班子成员逐一联系个人思想、工作实际，围绕党性修养的内涵、加强党性修养的重要意义、如何提升党性修养等方面深入开展了交流研讨。大家纷纷表示，加强党性修养是每个共产党员终身的必修课，必须立起党性修养的鲜明旗帜，不断自我净化、自我完善、自我革新、自我提高，才能永葆共产党人忠诚、纯洁、干净、担当的政治本色。</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6"/>
        <w:textAlignment w:val="auto"/>
        <w:rPr>
          <w:rFonts w:ascii="仿宋_GB2312" w:hAnsi="仿宋_GB2312" w:eastAsia="仿宋_GB2312" w:cs="仿宋_GB2312"/>
          <w:sz w:val="32"/>
          <w:szCs w:val="32"/>
          <w:lang w:val="zh-CN" w:bidi="zh-CN"/>
        </w:rPr>
      </w:pPr>
      <w:r>
        <w:rPr>
          <w:rFonts w:ascii="仿宋_GB2312" w:hAnsi="仿宋_GB2312" w:eastAsia="仿宋_GB2312" w:cs="仿宋_GB2312"/>
          <w:sz w:val="32"/>
          <w:szCs w:val="32"/>
          <w:lang w:val="zh-CN" w:bidi="zh-CN"/>
        </w:rPr>
        <w:t>会议还传达学习了全市县域经济发展暨建设现代特色农业“7+3”产业体系推进大会精神，听取了党组班子及成员主题教育问题整改情况，研究了下一步工作措施。杨海生强调，要抓好全市县域经济发展暨建设现代特色农业“7+3”产业体系推进大会精神在公积金系统落实落地，服务好县域经济发展。要坚持目标导向，确保全年目标任务圆满完成。要坚持问题导向，找准问题短板，建好问题台账，强化措施，明确完成时限，逐一整改销号，确保整改到位，取得实实在在的成效。要抓好主题教育民主生活会的筹备工作，充分征求意见和建议，确保高质量开好民主生活会。要抓好调研成果的转化，确保成果应用在公积金服务全市经济发展上取得实效。</w:t>
      </w:r>
    </w:p>
    <w:p>
      <w:pPr>
        <w:pStyle w:val="7"/>
        <w:widowControl/>
        <w:autoSpaceDE w:val="0"/>
        <w:autoSpaceDN w:val="0"/>
        <w:spacing w:before="0" w:beforeAutospacing="0" w:after="0" w:afterAutospacing="0" w:line="360" w:lineRule="auto"/>
        <w:ind w:firstLine="645"/>
        <w:rPr>
          <w:rFonts w:ascii="仿宋_GB2312" w:hAnsi="仿宋_GB2312" w:eastAsia="仿宋_GB2312" w:cs="仿宋_GB2312"/>
          <w:sz w:val="32"/>
          <w:szCs w:val="32"/>
          <w:lang w:val="zh-CN" w:bidi="zh-CN"/>
        </w:rPr>
      </w:pPr>
    </w:p>
    <w:p>
      <w:pPr>
        <w:pStyle w:val="11"/>
        <w:autoSpaceDE w:val="0"/>
        <w:autoSpaceDN w:val="0"/>
        <w:spacing w:line="360" w:lineRule="auto"/>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窗体底端</w:t>
      </w:r>
    </w:p>
    <w:p>
      <w:pPr>
        <w:pStyle w:val="12"/>
        <w:autoSpaceDE w:val="0"/>
        <w:autoSpaceDN w:val="0"/>
        <w:spacing w:line="360" w:lineRule="auto"/>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窗体顶端</w:t>
      </w:r>
    </w:p>
    <w:p>
      <w:pPr>
        <w:pStyle w:val="2"/>
        <w:widowControl/>
        <w:autoSpaceDE w:val="0"/>
        <w:autoSpaceDN w:val="0"/>
        <w:spacing w:before="0" w:beforeAutospacing="0" w:after="0" w:afterAutospacing="0" w:line="360" w:lineRule="auto"/>
        <w:jc w:val="center"/>
        <w:rPr>
          <w:rFonts w:hint="eastAsia" w:ascii="方正小标宋简体" w:hAnsi="方正小标宋简体" w:eastAsia="方正小标宋简体" w:cs="方正小标宋简体"/>
          <w:kern w:val="0"/>
          <w:sz w:val="32"/>
          <w:szCs w:val="22"/>
          <w:lang w:val="zh-CN" w:bidi="zh-CN"/>
        </w:rPr>
      </w:pPr>
      <w:r>
        <w:rPr>
          <w:rFonts w:hint="eastAsia" w:ascii="方正小标宋简体" w:hAnsi="方正小标宋简体" w:eastAsia="方正小标宋简体" w:cs="方正小标宋简体"/>
          <w:kern w:val="0"/>
          <w:sz w:val="32"/>
          <w:szCs w:val="22"/>
          <w:lang w:val="zh-CN" w:bidi="zh-CN"/>
        </w:rPr>
        <w:t>管理中心领导到青川马公乡督导脱贫攻坚工作</w:t>
      </w:r>
    </w:p>
    <w:p>
      <w:pPr>
        <w:pStyle w:val="11"/>
        <w:autoSpaceDE w:val="0"/>
        <w:autoSpaceDN w:val="0"/>
        <w:spacing w:line="360" w:lineRule="auto"/>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窗体底端</w:t>
      </w:r>
    </w:p>
    <w:p>
      <w:pPr>
        <w:pStyle w:val="12"/>
        <w:autoSpaceDE w:val="0"/>
        <w:autoSpaceDN w:val="0"/>
        <w:spacing w:line="360" w:lineRule="auto"/>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窗体顶端</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lang w:val="zh-CN" w:bidi="zh-CN"/>
        </w:rPr>
      </w:pPr>
      <w:r>
        <w:rPr>
          <w:rFonts w:ascii="仿宋_GB2312" w:hAnsi="仿宋_GB2312" w:eastAsia="仿宋_GB2312" w:cs="仿宋_GB2312"/>
          <w:sz w:val="32"/>
          <w:szCs w:val="32"/>
          <w:lang w:val="zh-CN" w:bidi="zh-CN"/>
        </w:rPr>
        <w:t>11月20日，市住房公积金管理中心党组书记杨海生深入到青川管理部挂联帮扶的马公乡三台村督导脱贫攻坚工作。</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lang w:val="zh-CN" w:bidi="zh-CN"/>
        </w:rPr>
      </w:pPr>
      <w:r>
        <w:rPr>
          <w:rFonts w:ascii="仿宋_GB2312" w:hAnsi="仿宋_GB2312" w:eastAsia="仿宋_GB2312" w:cs="仿宋_GB2312"/>
          <w:sz w:val="32"/>
          <w:szCs w:val="32"/>
          <w:lang w:val="zh-CN" w:bidi="zh-CN"/>
        </w:rPr>
        <w:t>杨海生首先走访了何廷育、赵芝明等3户易地搬迁户，分别查看了房屋主体结构、功能分区和水电通讯等，询问老人就医、孩子上学和产业发展情况，叮嘱他们要抓住脱贫攻坚的契机，振奋精气神，充分利用易地搬迁创造的便利条件，坚持发展乌药、魔芋和湖羊等特色种养业，提高家庭收入，尽早脱贫奔康。</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lang w:val="zh-CN" w:bidi="zh-CN"/>
        </w:rPr>
      </w:pPr>
      <w:r>
        <w:rPr>
          <w:rFonts w:ascii="仿宋_GB2312" w:hAnsi="仿宋_GB2312" w:eastAsia="仿宋_GB2312" w:cs="仿宋_GB2312"/>
          <w:sz w:val="32"/>
          <w:szCs w:val="32"/>
          <w:lang w:val="zh-CN" w:bidi="zh-CN"/>
        </w:rPr>
        <w:t>在三台村村委会，杨海生查看了阵地建设情况，详询了解村委“不忘初心、牢记使命”主题教育和“三会一课”开展情况。他指出，村“两委”干部要心系群众，一方面要鼓励支持青壮年发展产业，影响带动贫困群众发家致富；另一方面要兼顾好老弱病残，为他们争取政策保障，保证“两不愁三保障”达标到位，不返贫不掉队，顺利平安过冬。</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lang w:val="zh-CN" w:bidi="zh-CN"/>
        </w:rPr>
      </w:pPr>
      <w:r>
        <w:rPr>
          <w:rFonts w:ascii="仿宋_GB2312" w:hAnsi="仿宋_GB2312" w:eastAsia="仿宋_GB2312" w:cs="仿宋_GB2312"/>
          <w:sz w:val="32"/>
          <w:szCs w:val="32"/>
          <w:lang w:val="zh-CN" w:bidi="zh-CN"/>
        </w:rPr>
        <w:t>在同马公乡乡村两级干部座谈会上，就“脱贫验收”和“撤乡并镇”期间的工作，杨海生强调，马公乡脱贫攻坚工作成效明显，撤乡并镇后帮扶工作要一如既往，撤乡不撤帮扶，做到帮扶力量、措施不减。要抓住“东西部协作扶贫”机遇，以湖羊养殖为抓手，汇集多方力量，采用承包制、租赁制和股份制等多种形式发展集体经济，把集体经济做实、做大，真正让群众受益。撤乡并镇是我省机构改革的重要一环，马公乡干部要解放思想，理解支持撤乡并镇工作，服从青川县委、县政府的安排，同时要抓好手上的本职工作，做好群众思想和心理疏导，确保马公乡和谐稳定，顺利平安撤乡。</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lang w:val="zh-CN" w:bidi="zh-CN"/>
        </w:rPr>
      </w:pPr>
      <w:r>
        <w:rPr>
          <w:rFonts w:ascii="仿宋_GB2312" w:hAnsi="仿宋_GB2312" w:eastAsia="仿宋_GB2312" w:cs="仿宋_GB2312"/>
          <w:sz w:val="32"/>
          <w:szCs w:val="32"/>
          <w:lang w:val="zh-CN" w:bidi="zh-CN"/>
        </w:rPr>
        <w:t>中心党组成员、副主任蒲永国一同督导。</w:t>
      </w:r>
    </w:p>
    <w:p>
      <w:pPr>
        <w:keepNext w:val="0"/>
        <w:keepLines w:val="0"/>
        <w:pageBreakBefore w:val="0"/>
        <w:kinsoku/>
        <w:wordWrap/>
        <w:overflowPunct/>
        <w:topLinePunct w:val="0"/>
        <w:autoSpaceDE w:val="0"/>
        <w:autoSpaceDN w:val="0"/>
        <w:bidi w:val="0"/>
        <w:adjustRightInd/>
        <w:snapToGrid/>
        <w:spacing w:line="560" w:lineRule="exact"/>
        <w:jc w:val="both"/>
        <w:textAlignment w:val="auto"/>
        <w:rPr>
          <w:rFonts w:ascii="仿宋_GB2312" w:hAnsi="仿宋_GB2312" w:eastAsia="仿宋_GB2312" w:cs="仿宋_GB2312"/>
          <w:kern w:val="0"/>
          <w:sz w:val="32"/>
          <w:szCs w:val="32"/>
          <w:lang w:val="zh-CN" w:bidi="zh-CN"/>
        </w:rPr>
      </w:pPr>
    </w:p>
    <w:p>
      <w:pPr>
        <w:autoSpaceDE w:val="0"/>
        <w:autoSpaceDN w:val="0"/>
        <w:spacing w:line="360" w:lineRule="auto"/>
        <w:jc w:val="center"/>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rPr>
        <w:drawing>
          <wp:inline distT="0" distB="0" distL="114300" distR="114300">
            <wp:extent cx="5086350" cy="2999105"/>
            <wp:effectExtent l="0" t="0" r="0" b="10795"/>
            <wp:docPr id="1013" name="图片 1013"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图片 1013" descr="47"/>
                    <pic:cNvPicPr>
                      <a:picLocks noChangeAspect="1"/>
                    </pic:cNvPicPr>
                  </pic:nvPicPr>
                  <pic:blipFill>
                    <a:blip r:embed="rId5" cstate="print"/>
                    <a:stretch>
                      <a:fillRect/>
                    </a:stretch>
                  </pic:blipFill>
                  <pic:spPr>
                    <a:xfrm>
                      <a:off x="0" y="0"/>
                      <a:ext cx="5086350" cy="2999105"/>
                    </a:xfrm>
                    <a:prstGeom prst="rect">
                      <a:avLst/>
                    </a:prstGeom>
                  </pic:spPr>
                </pic:pic>
              </a:graphicData>
            </a:graphic>
          </wp:inline>
        </w:drawing>
      </w:r>
    </w:p>
    <w:p>
      <w:pPr>
        <w:autoSpaceDE w:val="0"/>
        <w:autoSpaceDN w:val="0"/>
        <w:spacing w:line="360" w:lineRule="auto"/>
        <w:jc w:val="center"/>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rPr>
        <w:drawing>
          <wp:inline distT="0" distB="0" distL="114300" distR="114300">
            <wp:extent cx="5371465" cy="3725545"/>
            <wp:effectExtent l="0" t="0" r="635" b="8255"/>
            <wp:docPr id="1014" name="图片 1014" descr="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图片 1014" descr="48"/>
                    <pic:cNvPicPr>
                      <a:picLocks noChangeAspect="1"/>
                    </pic:cNvPicPr>
                  </pic:nvPicPr>
                  <pic:blipFill>
                    <a:blip r:embed="rId6" cstate="print"/>
                    <a:stretch>
                      <a:fillRect/>
                    </a:stretch>
                  </pic:blipFill>
                  <pic:spPr>
                    <a:xfrm>
                      <a:off x="0" y="0"/>
                      <a:ext cx="5371465" cy="3725545"/>
                    </a:xfrm>
                    <a:prstGeom prst="rect">
                      <a:avLst/>
                    </a:prstGeom>
                  </pic:spPr>
                </pic:pic>
              </a:graphicData>
            </a:graphic>
          </wp:inline>
        </w:drawing>
      </w:r>
      <w:bookmarkStart w:id="0" w:name="_GoBack"/>
      <w:bookmarkEnd w:id="0"/>
    </w:p>
    <w:p>
      <w:pPr>
        <w:autoSpaceDE w:val="0"/>
        <w:autoSpaceDN w:val="0"/>
        <w:spacing w:line="360" w:lineRule="auto"/>
        <w:jc w:val="center"/>
        <w:rPr>
          <w:rFonts w:ascii="仿宋_GB2312" w:hAnsi="仿宋_GB2312" w:eastAsia="仿宋_GB2312" w:cs="仿宋_GB2312"/>
          <w:kern w:val="0"/>
          <w:sz w:val="32"/>
          <w:szCs w:val="32"/>
          <w:lang w:val="zh-CN" w:bidi="zh-CN"/>
        </w:rPr>
      </w:pPr>
    </w:p>
    <w:p>
      <w:pPr>
        <w:autoSpaceDE w:val="0"/>
        <w:autoSpaceDN w:val="0"/>
        <w:spacing w:line="360" w:lineRule="auto"/>
        <w:jc w:val="center"/>
        <w:rPr>
          <w:rFonts w:ascii="仿宋_GB2312" w:hAnsi="仿宋_GB2312" w:eastAsia="仿宋_GB2312" w:cs="仿宋_GB2312"/>
          <w:kern w:val="0"/>
          <w:sz w:val="32"/>
          <w:szCs w:val="32"/>
          <w:lang w:val="zh-CN" w:bidi="zh-CN"/>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1273C"/>
    <w:rsid w:val="7C53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ascii="宋体" w:hAnsi="宋体" w:eastAsiaTheme="minorEastAsia" w:cstheme="minorBidi"/>
      <w:b/>
      <w:kern w:val="44"/>
      <w:sz w:val="48"/>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qFormat/>
    <w:uiPriority w:val="1"/>
    <w:pPr>
      <w:widowControl w:val="0"/>
      <w:jc w:val="both"/>
    </w:pPr>
    <w:rPr>
      <w:rFonts w:ascii="仿宋_GB2312" w:hAnsi="仿宋_GB2312" w:eastAsia="仿宋_GB2312" w:cs="仿宋_GB2312"/>
      <w:kern w:val="2"/>
      <w:sz w:val="32"/>
      <w:szCs w:val="32"/>
      <w:lang w:val="zh-CN" w:eastAsia="zh-CN" w:bidi="zh-CN"/>
    </w:rPr>
  </w:style>
  <w:style w:type="paragraph" w:styleId="4">
    <w:name w:val="Body Text Indent"/>
    <w:qFormat/>
    <w:uiPriority w:val="0"/>
    <w:pPr>
      <w:widowControl w:val="0"/>
      <w:spacing w:after="120"/>
      <w:ind w:left="420" w:leftChars="200"/>
      <w:jc w:val="both"/>
    </w:pPr>
    <w:rPr>
      <w:rFonts w:asciiTheme="minorHAnsi" w:hAnsiTheme="minorHAnsi" w:eastAsiaTheme="minorEastAsia" w:cstheme="minorBidi"/>
      <w:kern w:val="2"/>
      <w:sz w:val="21"/>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widowControl w:val="0"/>
      <w:spacing w:before="100" w:beforeAutospacing="1" w:after="100" w:afterAutospacing="1"/>
      <w:jc w:val="left"/>
    </w:pPr>
    <w:rPr>
      <w:rFonts w:cs="Times New Roman" w:asciiTheme="minorHAnsi" w:hAnsiTheme="minorHAnsi" w:eastAsiaTheme="minorEastAsia"/>
      <w:kern w:val="0"/>
      <w:sz w:val="24"/>
      <w:szCs w:val="24"/>
      <w:lang w:val="en-US" w:eastAsia="zh-CN" w:bidi="ar-SA"/>
    </w:rPr>
  </w:style>
  <w:style w:type="paragraph" w:styleId="8">
    <w:name w:val="Body Text First Indent 2"/>
    <w:qFormat/>
    <w:uiPriority w:val="0"/>
    <w:pPr>
      <w:widowControl w:val="0"/>
      <w:spacing w:after="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1">
    <w:name w:val="_Style 36"/>
    <w:next w:val="1"/>
    <w:qFormat/>
    <w:uiPriority w:val="0"/>
    <w:pPr>
      <w:widowControl w:val="0"/>
      <w:pBdr>
        <w:top w:val="single" w:color="auto" w:sz="6" w:space="1"/>
      </w:pBdr>
      <w:jc w:val="center"/>
    </w:pPr>
    <w:rPr>
      <w:rFonts w:ascii="Arial" w:eastAsia="宋体" w:hAnsiTheme="minorHAnsi" w:cstheme="minorBidi"/>
      <w:vanish/>
      <w:kern w:val="2"/>
      <w:sz w:val="16"/>
      <w:szCs w:val="24"/>
      <w:lang w:val="en-US" w:eastAsia="zh-CN" w:bidi="ar-SA"/>
    </w:rPr>
  </w:style>
  <w:style w:type="paragraph" w:customStyle="1" w:styleId="12">
    <w:name w:val="_Style 35"/>
    <w:next w:val="1"/>
    <w:qFormat/>
    <w:uiPriority w:val="0"/>
    <w:pPr>
      <w:widowControl w:val="0"/>
      <w:pBdr>
        <w:bottom w:val="single" w:color="auto" w:sz="6" w:space="1"/>
      </w:pBdr>
      <w:jc w:val="center"/>
    </w:pPr>
    <w:rPr>
      <w:rFonts w:ascii="Arial" w:eastAsia="宋体" w:hAnsiTheme="minorHAnsi" w:cstheme="minorBidi"/>
      <w:vanish/>
      <w:kern w:val="2"/>
      <w:sz w:val="16"/>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2020-11-11T02:38:00Z</dcterms:created>
  <dc:creator>Administrator</dc:creator>
  <cp:lastModifiedBy>的哥</cp:lastModifiedBy>
  <cp:lastPrinted>2020-11-16T01:38:18Z</cp:lastPrinted>
  <dcterms:modified xsi:type="dcterms:W3CDTF">2020-11-16T01:38:45Z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