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ind w:firstLine="640"/>
        <w:jc w:val="left"/>
        <w:rPr>
          <w:rFonts w:ascii="宋体" w:hAnsi="宋体" w:eastAsia="宋体" w:cs="宋体"/>
          <w:color w:val="000000"/>
          <w:kern w:val="0"/>
          <w:sz w:val="32"/>
          <w:szCs w:val="32"/>
        </w:rPr>
      </w:pP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广元市住房公积金管理中心</w:t>
      </w:r>
    </w:p>
    <w:p>
      <w:pPr>
        <w:spacing w:before="15" w:line="206" w:lineRule="auto"/>
        <w:ind w:left="2224" w:right="831" w:hanging="1685"/>
        <w:jc w:val="center"/>
        <w:rPr>
          <w:rFonts w:ascii="方正小标宋简体" w:hAnsi="方正小标宋简体" w:eastAsia="方正小标宋简体" w:cs="方正小标宋简体"/>
          <w:b/>
          <w:bCs/>
          <w:color w:val="FF0000"/>
          <w:spacing w:val="-36"/>
          <w:w w:val="95"/>
          <w:sz w:val="72"/>
          <w:szCs w:val="72"/>
          <w:lang w:val="zh-CN" w:bidi="zh-CN"/>
        </w:rPr>
      </w:pPr>
      <w:r>
        <w:rPr>
          <w:rFonts w:hint="eastAsia" w:ascii="方正小标宋简体" w:hAnsi="方正小标宋简体" w:eastAsia="方正小标宋简体" w:cs="方正小标宋简体"/>
          <w:b/>
          <w:bCs/>
          <w:color w:val="FF0000"/>
          <w:spacing w:val="-36"/>
          <w:w w:val="95"/>
          <w:sz w:val="72"/>
          <w:szCs w:val="72"/>
          <w:lang w:val="zh-CN" w:bidi="zh-CN"/>
        </w:rPr>
        <w:t>精神文明建设工作动态</w:t>
      </w:r>
    </w:p>
    <w:p>
      <w:pPr>
        <w:pStyle w:val="3"/>
        <w:spacing w:before="157" w:line="556" w:lineRule="exact"/>
        <w:ind w:left="223" w:right="404"/>
        <w:jc w:val="center"/>
        <w:rPr>
          <w:rFonts w:ascii="Arial Unicode MS" w:eastAsia="Arial Unicode MS"/>
        </w:rPr>
      </w:pPr>
      <w:r>
        <w:rPr>
          <w:rFonts w:hint="eastAsia" w:ascii="Arial Unicode MS" w:eastAsia="Arial Unicode MS"/>
          <w:lang w:val="en-US"/>
        </w:rPr>
        <w:t xml:space="preserve">2019 </w:t>
      </w:r>
      <w:r>
        <w:rPr>
          <w:rFonts w:hint="eastAsia" w:ascii="Arial Unicode MS" w:eastAsia="Arial Unicode MS"/>
        </w:rPr>
        <w:t>年</w:t>
      </w:r>
      <w:r>
        <w:rPr>
          <w:rFonts w:hint="eastAsia" w:ascii="Arial Unicode MS" w:eastAsia="Arial Unicode MS"/>
          <w:lang w:val="en-US"/>
        </w:rPr>
        <w:t xml:space="preserve"> </w:t>
      </w:r>
      <w:r>
        <w:rPr>
          <w:rFonts w:hint="eastAsia" w:ascii="Arial Unicode MS" w:eastAsia="Arial Unicode MS"/>
        </w:rPr>
        <w:t>第 1 期</w:t>
      </w:r>
    </w:p>
    <w:p>
      <w:pPr>
        <w:pStyle w:val="3"/>
        <w:spacing w:before="157" w:line="556" w:lineRule="exact"/>
        <w:ind w:left="223" w:right="404"/>
        <w:jc w:val="center"/>
        <w:rPr>
          <w:rFonts w:ascii="Arial Unicode MS" w:eastAsia="Arial Unicode MS"/>
        </w:rPr>
      </w:pPr>
    </w:p>
    <w:p>
      <w:pPr>
        <w:tabs>
          <w:tab w:val="left" w:pos="6019"/>
          <w:tab w:val="left" w:pos="7668"/>
        </w:tabs>
        <w:spacing w:line="358" w:lineRule="exact"/>
        <w:ind w:right="176"/>
        <w:rPr>
          <w:rFonts w:hint="eastAsia" w:asciiTheme="majorEastAsia" w:hAnsiTheme="majorEastAsia" w:eastAsiaTheme="majorEastAsia" w:cstheme="majorEastAsia"/>
          <w:sz w:val="28"/>
        </w:rPr>
      </w:pPr>
      <w:r>
        <w:rPr>
          <w:rFonts w:hint="eastAsia" w:asciiTheme="majorEastAsia" w:hAnsiTheme="majorEastAsia" w:eastAsiaTheme="majorEastAsia" w:cstheme="majorEastAsia"/>
          <w:sz w:val="28"/>
        </w:rPr>
        <mc:AlternateContent>
          <mc:Choice Requires="wps">
            <w:drawing>
              <wp:anchor distT="0" distB="0" distL="114300" distR="114300" simplePos="0" relativeHeight="287902720" behindDoc="1" locked="0" layoutInCell="1" allowOverlap="1">
                <wp:simplePos x="0" y="0"/>
                <wp:positionH relativeFrom="page">
                  <wp:posOffset>830580</wp:posOffset>
                </wp:positionH>
                <wp:positionV relativeFrom="paragraph">
                  <wp:posOffset>291465</wp:posOffset>
                </wp:positionV>
                <wp:extent cx="5667375" cy="0"/>
                <wp:effectExtent l="0" t="13970" r="9525" b="24130"/>
                <wp:wrapTopAndBottom/>
                <wp:docPr id="1067" name="直接连接符 1067"/>
                <wp:cNvGraphicFramePr/>
                <a:graphic xmlns:a="http://schemas.openxmlformats.org/drawingml/2006/main">
                  <a:graphicData uri="http://schemas.microsoft.com/office/word/2010/wordprocessingShape">
                    <wps:wsp>
                      <wps:cNvCnPr/>
                      <wps:spPr>
                        <a:xfrm>
                          <a:off x="0" y="0"/>
                          <a:ext cx="56673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5.4pt;margin-top:22.95pt;height:0pt;width:446.25pt;mso-position-horizontal-relative:page;mso-wrap-distance-bottom:0pt;mso-wrap-distance-top:0pt;z-index:-215413760;mso-width-relative:page;mso-height-relative:page;" filled="f" stroked="t" coordsize="21600,21600" o:gfxdata="UEsDBAoAAAAAAIdO4kAAAAAAAAAAAAAAAAAEAAAAZHJzL1BLAwQUAAAACACHTuJAIlzjW9cAAAAK&#10;AQAADwAAAGRycy9kb3ducmV2LnhtbE2PwU7DMBBE70j9B2uRuFG7CVQlxKkKghsSaqDt1Y2XOGq8&#10;jmI3Tf8eVxzocXZGM2/z5WhbNmDvG0cSZlMBDKlyuqFawvfX+/0CmA+KtGodoYQzelgWk5tcZdqd&#10;aI1DGWoWS8hnSoIJocs495VBq/zUdUjR+3G9VSHKvua6V6dYblueCDHnVjUUF4zq8NVgdSiPVsK4&#10;XazM7iO8vLnNpzmMu9IOyVnKu9uZeAYWcAz/YbjgR3QoItPeHUl71kadiogeJDw8PgG7BESSpsD2&#10;fxde5Pz6heIXUEsDBBQAAAAIAIdO4kCvECdFAAIAAPkDAAAOAAAAZHJzL2Uyb0RvYy54bWytU82O&#10;0zAQviPxDpbvNGlR21XUdA9bygVBJeABXNtJLPlPHrdpX4IXQOIGJ47ceRt2H4Ox0y3L7qWHzcEZ&#10;e2a+me/zeHF9MJrsZQDlbE3Ho5ISabkTyrY1/fxp/eqKEojMCqadlTU9SqDXy5cvFr2v5MR1TgsZ&#10;CIJYqHpf0y5GXxUF8E4aBiPnpUVn44JhEbehLURgPaIbXUzKclb0LggfHJcAeLoanPSEGC4BdE2j&#10;uFw5vjPSxgE1SM0iUoJOeaDL3G3TSB4/NA3ISHRNkWnMKxZBe5vWYrlgVRuY7xQ/tcAuaeERJ8OU&#10;xaJnqBWLjOyCegJlFA8OXBNH3JliIJIVQRbj8pE2HzvmZeaCUoM/iw7PB8vf7zeBKIGTUM7mlFhm&#10;8M5vv/768+X73e9vuN7+/EGyD6XqPVSYcWM34bQDvwmJ96EJJv2RETlkeY9neeUhEo6H09ls/no+&#10;pYTf+4p/iT5AfCudIcmoqVY2MWcV27+DiMUw9D4kHWtL+ppOrqYZj+EcNnj/CG08cgHb5mRwWom1&#10;0jqlQGi3NzqQPcNZWK9L/NL1I/B/YanKikE3xGXXMCWdZOKNFSQePUpk8XHQ1IORghIt8S0lCwFZ&#10;FZnSl0RiaW1TgsyTeiKaRB5kTdbWiSPe0M4H1XYozDj3nDw4Ebn70/SmkXu4R/vhi13+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Jc41vXAAAACgEAAA8AAAAAAAAAAQAgAAAAIgAAAGRycy9kb3du&#10;cmV2LnhtbFBLAQIUABQAAAAIAIdO4kCvECdFAAIAAPkDAAAOAAAAAAAAAAEAIAAAACYBAABkcnMv&#10;ZTJvRG9jLnhtbFBLBQYAAAAABgAGAFkBAACYBQAAAAA=&#10;">
                <v:fill on="f" focussize="0,0"/>
                <v:stroke weight="2.25pt" color="#FF0000" joinstyle="round"/>
                <v:imagedata o:title=""/>
                <o:lock v:ext="edit" aspectratio="f"/>
                <w10:wrap type="topAndBottom"/>
              </v:line>
            </w:pict>
          </mc:Fallback>
        </mc:AlternateContent>
      </w:r>
      <w:r>
        <w:rPr>
          <w:rFonts w:hint="eastAsia" w:asciiTheme="majorEastAsia" w:hAnsiTheme="majorEastAsia" w:eastAsiaTheme="majorEastAsia" w:cstheme="majorEastAsia"/>
          <w:sz w:val="28"/>
        </w:rPr>
        <w:t>广元市住房公积金管理中心</w:t>
      </w:r>
      <w:r>
        <w:rPr>
          <w:rFonts w:hint="eastAsia" w:asciiTheme="majorEastAsia" w:hAnsiTheme="majorEastAsia" w:eastAsiaTheme="majorEastAsia" w:cstheme="majorEastAsia"/>
          <w:sz w:val="28"/>
          <w:lang w:eastAsia="zh-CN"/>
        </w:rPr>
        <w:t>办公室</w:t>
      </w:r>
      <w:r>
        <w:rPr>
          <w:rFonts w:hint="eastAsia" w:asciiTheme="majorEastAsia" w:hAnsiTheme="majorEastAsia" w:eastAsiaTheme="majorEastAsia" w:cstheme="majorEastAsia"/>
          <w:sz w:val="28"/>
          <w:lang w:val="en-US" w:eastAsia="zh-CN"/>
        </w:rPr>
        <w:t xml:space="preserve">            </w:t>
      </w:r>
      <w:r>
        <w:rPr>
          <w:rFonts w:hint="eastAsia" w:asciiTheme="majorEastAsia" w:hAnsiTheme="majorEastAsia" w:eastAsiaTheme="majorEastAsia" w:cstheme="majorEastAsia"/>
          <w:sz w:val="28"/>
        </w:rPr>
        <w:t xml:space="preserve">2019 年 </w:t>
      </w:r>
      <w:r>
        <w:rPr>
          <w:rFonts w:hint="eastAsia" w:asciiTheme="majorEastAsia" w:hAnsiTheme="majorEastAsia" w:eastAsiaTheme="majorEastAsia" w:cstheme="majorEastAsia"/>
          <w:sz w:val="28"/>
          <w:lang w:val="en-US" w:eastAsia="zh-CN"/>
        </w:rPr>
        <w:t>1</w:t>
      </w:r>
      <w:r>
        <w:rPr>
          <w:rFonts w:hint="eastAsia" w:asciiTheme="majorEastAsia" w:hAnsiTheme="majorEastAsia" w:eastAsiaTheme="majorEastAsia" w:cstheme="majorEastAsia"/>
          <w:sz w:val="28"/>
        </w:rPr>
        <w:t xml:space="preserve"> 月 31</w:t>
      </w:r>
      <w:r>
        <w:rPr>
          <w:rFonts w:hint="eastAsia" w:asciiTheme="majorEastAsia" w:hAnsiTheme="majorEastAsia" w:eastAsiaTheme="majorEastAsia" w:cstheme="majorEastAsia"/>
          <w:spacing w:val="-9"/>
          <w:sz w:val="28"/>
        </w:rPr>
        <w:t xml:space="preserve"> </w:t>
      </w:r>
      <w:r>
        <w:rPr>
          <w:rFonts w:hint="eastAsia" w:asciiTheme="majorEastAsia" w:hAnsiTheme="majorEastAsia" w:eastAsiaTheme="majorEastAsia" w:cstheme="majorEastAsia"/>
          <w:sz w:val="28"/>
        </w:rPr>
        <w:t>日</w:t>
      </w:r>
    </w:p>
    <w:p>
      <w:pPr>
        <w:pStyle w:val="3"/>
        <w:autoSpaceDE w:val="0"/>
        <w:autoSpaceDN w:val="0"/>
        <w:ind w:left="120"/>
      </w:pPr>
    </w:p>
    <w:p>
      <w:pPr>
        <w:pStyle w:val="11"/>
      </w:pPr>
      <w:r>
        <w:t>*窗体顶端</w:t>
      </w:r>
    </w:p>
    <w:p>
      <w:pPr>
        <w:pStyle w:val="2"/>
        <w:widowControl/>
        <w:autoSpaceDE w:val="0"/>
        <w:autoSpaceDN w:val="0"/>
        <w:spacing w:before="0" w:beforeAutospacing="0" w:after="0" w:afterAutospacing="0" w:line="360" w:lineRule="auto"/>
        <w:rPr>
          <w:rFonts w:ascii="仿宋_GB2312" w:hAnsi="仿宋_GB2312" w:eastAsia="仿宋_GB2312" w:cs="仿宋_GB2312"/>
          <w:b w:val="0"/>
          <w:kern w:val="0"/>
          <w:sz w:val="32"/>
          <w:szCs w:val="32"/>
          <w:lang w:val="zh-CN" w:bidi="zh-CN"/>
        </w:rPr>
      </w:pPr>
      <w:r>
        <w:rPr>
          <w:rFonts w:ascii="仿宋_GB2312" w:hAnsi="仿宋_GB2312" w:eastAsia="仿宋_GB2312" w:cs="仿宋_GB2312"/>
          <w:b w:val="0"/>
          <w:kern w:val="0"/>
          <w:sz w:val="32"/>
          <w:szCs w:val="32"/>
          <w:lang w:val="zh-CN" w:bidi="zh-CN"/>
        </w:rPr>
        <w:t>*管理中心领导赴帮扶村苍溪高坡玉帝村指导工作</w:t>
      </w:r>
    </w:p>
    <w:p>
      <w:pPr>
        <w:pStyle w:val="2"/>
        <w:widowControl/>
        <w:autoSpaceDE w:val="0"/>
        <w:autoSpaceDN w:val="0"/>
        <w:spacing w:before="0" w:beforeAutospacing="0" w:after="0" w:afterAutospacing="0" w:line="360" w:lineRule="auto"/>
        <w:rPr>
          <w:rFonts w:hint="eastAsia" w:ascii="方正小标宋简体" w:hAnsi="方正小标宋简体" w:eastAsia="方正小标宋简体" w:cs="方正小标宋简体"/>
          <w:b/>
          <w:szCs w:val="22"/>
        </w:rPr>
      </w:pPr>
      <w:r>
        <w:rPr>
          <w:rFonts w:ascii="仿宋_GB2312" w:hAnsi="仿宋_GB2312" w:eastAsia="仿宋_GB2312" w:cs="仿宋_GB2312"/>
          <w:b w:val="0"/>
          <w:kern w:val="0"/>
          <w:sz w:val="32"/>
          <w:szCs w:val="32"/>
          <w:lang w:val="zh-CN" w:bidi="zh-CN"/>
        </w:rPr>
        <w:t>*管理中心坐客《政风行风热线》</w:t>
      </w:r>
    </w:p>
    <w:p>
      <w:pPr>
        <w:pStyle w:val="3"/>
        <w:spacing w:before="3"/>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管理中心领导赴帮扶村苍溪高坡玉帝村指导工作</w:t>
      </w:r>
    </w:p>
    <w:p>
      <w:pPr>
        <w:pStyle w:val="3"/>
        <w:spacing w:before="3"/>
        <w:jc w:val="both"/>
        <w:rPr>
          <w:rFonts w:ascii="微软雅黑" w:eastAsia="微软雅黑"/>
          <w:b/>
          <w:sz w:val="10"/>
          <w:szCs w:val="10"/>
        </w:rPr>
      </w:pPr>
      <w:r>
        <w:rPr>
          <w:kern w:val="0"/>
          <w:lang w:val="en-US" w:bidi="ar-SA"/>
        </w:rPr>
        <w:drawing>
          <wp:inline distT="0" distB="0" distL="114300" distR="114300">
            <wp:extent cx="5339715" cy="3154680"/>
            <wp:effectExtent l="0" t="0" r="13335" b="7620"/>
            <wp:docPr id="1005" name="图片 1005"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图片 1005" descr="37"/>
                    <pic:cNvPicPr>
                      <a:picLocks noChangeAspect="1"/>
                    </pic:cNvPicPr>
                  </pic:nvPicPr>
                  <pic:blipFill>
                    <a:blip r:embed="rId6" cstate="print"/>
                    <a:stretch>
                      <a:fillRect/>
                    </a:stretch>
                  </pic:blipFill>
                  <pic:spPr>
                    <a:xfrm>
                      <a:off x="0" y="0"/>
                      <a:ext cx="5339715" cy="3154680"/>
                    </a:xfrm>
                    <a:prstGeom prst="rect">
                      <a:avLst/>
                    </a:prstGeom>
                  </pic:spPr>
                </pic:pic>
              </a:graphicData>
            </a:graphic>
          </wp:inline>
        </w:drawing>
      </w:r>
    </w:p>
    <w:p>
      <w:pPr>
        <w:pStyle w:val="3"/>
        <w:autoSpaceDE w:val="0"/>
        <w:autoSpaceDN w:val="0"/>
        <w:spacing w:line="360" w:lineRule="auto"/>
        <w:rPr>
          <w:kern w:val="0"/>
        </w:rPr>
      </w:pPr>
    </w:p>
    <w:p>
      <w:pPr>
        <w:pStyle w:val="12"/>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市税务局党员突击队风雨无阻协助社区走街串巷防控疫情窗体顶端</w:t>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2019年1月2日，新年伊始，市住房公积金管理中心主任李豪带领相关帮扶人员赴苍溪县高坡镇玉帝村指导帮扶工作。</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李豪首先查看了玉帝村村委会阵地建设情况，实地了解一社猕猴桃园区冬季管护和光伏发电集体项目运行情况。随后召开帮扶工作会议，听取镇党委及驻村工作队工作汇报，李豪对镇党委、村两委、第一书记及驻村工作队员所取的帮扶工作成效给予了充分肯定。同时，要求大家一是要提高政治站位，严格遵守工作纪律，对标聚力，坚持问题导向，坚决打赢脱贫攻坚硬仗。二是要加强与共同帮扶单位县中医院的配合联系，认真开展好近期遍访入户，督促环境卫生整治，提升村容村貌。三是要扎实开展好群众感恩奋进教育和春节慰问等活动。四是要及早谋划好2019年帮扶工作规划，特别在贫困户产业发展方面要多谋划、做实事、助增收，中心将继续加大帮扶支持力度，确保如期脱贫摘帽。</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李豪一行还入户走访慰问了杨桂兰等帮扶贫困户，详细了解生产生活情况，送去新年祝福！</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管理中心党组成员、总稽核何天龙一同参加。</w:t>
      </w:r>
    </w:p>
    <w:p>
      <w:pPr>
        <w:autoSpaceDE w:val="0"/>
        <w:autoSpaceDN w:val="0"/>
        <w:spacing w:line="360" w:lineRule="auto"/>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rPr>
        <w:drawing>
          <wp:inline distT="0" distB="0" distL="114300" distR="114300">
            <wp:extent cx="5549265" cy="3507740"/>
            <wp:effectExtent l="0" t="0" r="13335" b="16510"/>
            <wp:docPr id="1006" name="图片 100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图片 1006" descr="38"/>
                    <pic:cNvPicPr>
                      <a:picLocks noChangeAspect="1"/>
                    </pic:cNvPicPr>
                  </pic:nvPicPr>
                  <pic:blipFill>
                    <a:blip r:embed="rId7" cstate="print"/>
                    <a:stretch>
                      <a:fillRect/>
                    </a:stretch>
                  </pic:blipFill>
                  <pic:spPr>
                    <a:xfrm>
                      <a:off x="0" y="0"/>
                      <a:ext cx="5549265" cy="3507740"/>
                    </a:xfrm>
                    <a:prstGeom prst="rect">
                      <a:avLst/>
                    </a:prstGeom>
                  </pic:spPr>
                </pic:pic>
              </a:graphicData>
            </a:graphic>
          </wp:inline>
        </w:drawing>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13"/>
        <w:autoSpaceDE w:val="0"/>
        <w:autoSpaceDN w:val="0"/>
        <w:spacing w:line="360" w:lineRule="auto"/>
        <w:rPr>
          <w:rFonts w:ascii="仿宋_GB2312" w:hAnsi="仿宋_GB2312" w:eastAsia="仿宋_GB2312" w:cs="仿宋_GB2312"/>
          <w:kern w:val="0"/>
          <w:sz w:val="32"/>
          <w:szCs w:val="32"/>
          <w:lang w:val="zh-CN" w:bidi="zh-CN"/>
        </w:rPr>
      </w:pPr>
    </w:p>
    <w:p>
      <w:pPr>
        <w:pStyle w:val="13"/>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pStyle w:val="2"/>
        <w:widowControl/>
        <w:autoSpaceDE w:val="0"/>
        <w:autoSpaceDN w:val="0"/>
        <w:spacing w:before="0" w:beforeAutospacing="0" w:after="0" w:afterAutospacing="0" w:line="360" w:lineRule="auto"/>
        <w:jc w:val="center"/>
        <w:rPr>
          <w:rFonts w:hint="eastAsia" w:ascii="方正小标宋简体" w:hAnsi="方正小标宋简体" w:eastAsia="方正小标宋简体" w:cs="方正小标宋简体"/>
          <w:kern w:val="0"/>
          <w:sz w:val="32"/>
          <w:szCs w:val="32"/>
          <w:lang w:val="zh-CN" w:bidi="zh-CN"/>
        </w:rPr>
      </w:pPr>
      <w:r>
        <w:rPr>
          <w:rFonts w:hint="eastAsia" w:ascii="方正小标宋简体" w:hAnsi="方正小标宋简体" w:eastAsia="方正小标宋简体" w:cs="方正小标宋简体"/>
          <w:kern w:val="0"/>
          <w:sz w:val="32"/>
          <w:szCs w:val="32"/>
          <w:lang w:val="zh-CN" w:bidi="zh-CN"/>
        </w:rPr>
        <w:t>管理中心坐客《政风行风热线》</w:t>
      </w:r>
    </w:p>
    <w:p>
      <w:pPr>
        <w:pStyle w:val="11"/>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窗体顶端</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1月3日上午10时至11时，市住房公积金管理中心主任李豪带领分管领导及相关业务科室主要负责人，走进市人民广播电台《政风行风热线》直播节目，围绕当前我市住房公积金热点难点问题，接受主持人访谈，与听众朋友们进行在线互动交流，现场解答群众关心的住房公积金相关问题。</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访谈伊始，首先向广大听众介绍了近年来市住房公积金管理中心推出的优质、高效、便捷的一系列服务举措及惠民政策，随后进行互动交流，各业务科室负责人围绕民生关注的住房公积金缴存、提取、贷款等方面的问题，进行了全面详尽的分析、介绍。对直播节目中听众提出的有关问题，逐一耐心、细致地进行了解答。下线后还将听众提出的有关问题进一步了解落实，做到及时回复，确保满意。</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访谈现场，政风行风监督员还进行了点评，对管理中心优质服务工作给予了充分肯定。</w:t>
      </w: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ind w:firstLine="646"/>
        <w:textAlignment w:val="auto"/>
        <w:rPr>
          <w:rFonts w:ascii="仿宋_GB2312" w:hAnsi="仿宋_GB2312" w:eastAsia="仿宋_GB2312" w:cs="仿宋_GB2312"/>
          <w:sz w:val="32"/>
          <w:szCs w:val="32"/>
          <w:lang w:val="zh-CN" w:bidi="zh-CN"/>
        </w:rPr>
      </w:pPr>
      <w:r>
        <w:rPr>
          <w:rFonts w:ascii="仿宋_GB2312" w:hAnsi="仿宋_GB2312" w:eastAsia="仿宋_GB2312" w:cs="仿宋_GB2312"/>
          <w:sz w:val="32"/>
          <w:szCs w:val="32"/>
          <w:lang w:val="zh-CN" w:bidi="zh-CN"/>
        </w:rPr>
        <w:t>管理中心将以政风行风民主评议工作为契机，切实解决损害群众切身利益的热点、难点问题，规范管理，提升服务水平，优化服务环境，进一步加大政策宣传、扩面归集工作力度，强化资金使用管理，提高资金使用效率，让更多的缴存职工享受到建立住房公积金制度政策红利。</w:t>
      </w:r>
    </w:p>
    <w:p>
      <w:pPr>
        <w:pStyle w:val="13"/>
        <w:autoSpaceDE w:val="0"/>
        <w:autoSpaceDN w:val="0"/>
        <w:spacing w:line="360" w:lineRule="auto"/>
        <w:rPr>
          <w:rFonts w:ascii="仿宋_GB2312" w:hAnsi="仿宋_GB2312" w:eastAsia="仿宋_GB2312" w:cs="仿宋_GB2312"/>
          <w:kern w:val="0"/>
          <w:sz w:val="32"/>
          <w:szCs w:val="32"/>
          <w:lang w:val="zh-CN" w:bidi="zh-CN"/>
        </w:rPr>
      </w:pPr>
      <w:r>
        <w:rPr>
          <w:rFonts w:ascii="仿宋_GB2312" w:hAnsi="仿宋_GB2312" w:eastAsia="仿宋_GB2312" w:cs="仿宋_GB2312"/>
          <w:kern w:val="0"/>
          <w:sz w:val="32"/>
          <w:szCs w:val="32"/>
          <w:lang w:val="zh-CN" w:bidi="zh-CN"/>
        </w:rPr>
        <w:t>窗体底端</w:t>
      </w:r>
    </w:p>
    <w:p>
      <w:pPr>
        <w:autoSpaceDE w:val="0"/>
        <w:autoSpaceDN w:val="0"/>
        <w:spacing w:line="360" w:lineRule="auto"/>
        <w:rPr>
          <w:rFonts w:ascii="仿宋_GB2312" w:hAnsi="仿宋_GB2312" w:eastAsia="仿宋_GB2312" w:cs="仿宋_GB2312"/>
          <w:kern w:val="0"/>
          <w:sz w:val="32"/>
          <w:szCs w:val="32"/>
          <w:lang w:val="zh-CN" w:bidi="zh-CN"/>
        </w:rPr>
      </w:pPr>
      <w:r>
        <w:rPr>
          <w:rFonts w:hint="eastAsia" w:ascii="仿宋_GB2312" w:hAnsi="仿宋_GB2312" w:eastAsia="仿宋_GB2312" w:cs="仿宋_GB2312"/>
          <w:kern w:val="0"/>
          <w:sz w:val="32"/>
          <w:szCs w:val="32"/>
        </w:rPr>
        <w:drawing>
          <wp:inline distT="0" distB="0" distL="114300" distR="114300">
            <wp:extent cx="5683250" cy="3435985"/>
            <wp:effectExtent l="0" t="0" r="12700" b="12065"/>
            <wp:docPr id="1007" name="图片 1007"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图片 1007" descr="39"/>
                    <pic:cNvPicPr>
                      <a:picLocks noChangeAspect="1"/>
                    </pic:cNvPicPr>
                  </pic:nvPicPr>
                  <pic:blipFill>
                    <a:blip r:embed="rId8" cstate="print"/>
                    <a:stretch>
                      <a:fillRect/>
                    </a:stretch>
                  </pic:blipFill>
                  <pic:spPr>
                    <a:xfrm>
                      <a:off x="0" y="0"/>
                      <a:ext cx="5683250" cy="3435985"/>
                    </a:xfrm>
                    <a:prstGeom prst="rect">
                      <a:avLst/>
                    </a:prstGeom>
                  </pic:spPr>
                </pic:pic>
              </a:graphicData>
            </a:graphic>
          </wp:inline>
        </w:drawing>
      </w:r>
    </w:p>
    <w:p>
      <w:pPr>
        <w:pStyle w:val="3"/>
        <w:spacing w:before="4" w:after="1"/>
        <w:rPr>
          <w:kern w:val="0"/>
        </w:rPr>
      </w:pPr>
    </w:p>
    <w:p>
      <w:pPr>
        <w:pStyle w:val="7"/>
        <w:keepNext w:val="0"/>
        <w:keepLines w:val="0"/>
        <w:pageBreakBefore w:val="0"/>
        <w:widowControl/>
        <w:kinsoku/>
        <w:wordWrap/>
        <w:overflowPunct/>
        <w:topLinePunct w:val="0"/>
        <w:autoSpaceDE w:val="0"/>
        <w:autoSpaceDN w:val="0"/>
        <w:bidi w:val="0"/>
        <w:adjustRightInd/>
        <w:snapToGrid/>
        <w:spacing w:before="0" w:beforeAutospacing="0" w:after="0" w:afterAutospacing="0" w:line="560" w:lineRule="exact"/>
        <w:textAlignment w:val="auto"/>
        <w:rPr>
          <w:rFonts w:ascii="仿宋_GB2312" w:hAnsi="仿宋_GB2312" w:eastAsia="仿宋_GB2312" w:cs="仿宋_GB2312"/>
          <w:sz w:val="32"/>
          <w:szCs w:val="32"/>
          <w:lang w:val="zh-CN" w:bidi="zh-CN"/>
        </w:rPr>
      </w:pPr>
      <w:bookmarkStart w:id="0" w:name="_GoBack"/>
      <w:bookmarkEnd w:id="0"/>
    </w:p>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- 1 -</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A6AC9"/>
    <w:rsid w:val="43EC1629"/>
    <w:rsid w:val="7777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widowControl w:val="0"/>
      <w:spacing w:before="100" w:beforeAutospacing="1" w:after="100" w:afterAutospacing="1"/>
      <w:jc w:val="left"/>
      <w:outlineLvl w:val="0"/>
    </w:pPr>
    <w:rPr>
      <w:rFonts w:ascii="宋体" w:hAnsi="宋体" w:eastAsiaTheme="minorEastAsia" w:cstheme="minorBidi"/>
      <w:b/>
      <w:kern w:val="44"/>
      <w:sz w:val="48"/>
      <w:szCs w:val="24"/>
      <w:lang w:val="en-US" w:eastAsia="zh-CN" w:bidi="ar-SA"/>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qFormat/>
    <w:uiPriority w:val="1"/>
    <w:pPr>
      <w:widowControl w:val="0"/>
      <w:jc w:val="both"/>
    </w:pPr>
    <w:rPr>
      <w:rFonts w:ascii="仿宋_GB2312" w:hAnsi="仿宋_GB2312" w:eastAsia="仿宋_GB2312" w:cs="仿宋_GB2312"/>
      <w:kern w:val="2"/>
      <w:sz w:val="32"/>
      <w:szCs w:val="32"/>
      <w:lang w:val="zh-CN" w:eastAsia="zh-CN" w:bidi="zh-CN"/>
    </w:rPr>
  </w:style>
  <w:style w:type="paragraph" w:styleId="4">
    <w:name w:val="Body Text Indent"/>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qFormat/>
    <w:uiPriority w:val="0"/>
    <w:pPr>
      <w:widowControl w:val="0"/>
      <w:spacing w:before="100" w:beforeAutospacing="1" w:after="100" w:afterAutospacing="1"/>
      <w:jc w:val="left"/>
    </w:pPr>
    <w:rPr>
      <w:rFonts w:cs="Times New Roman" w:asciiTheme="minorHAnsi" w:hAnsiTheme="minorHAnsi" w:eastAsiaTheme="minorEastAsia"/>
      <w:kern w:val="0"/>
      <w:sz w:val="24"/>
      <w:szCs w:val="24"/>
      <w:lang w:val="en-US" w:eastAsia="zh-CN" w:bidi="ar-SA"/>
    </w:rPr>
  </w:style>
  <w:style w:type="paragraph" w:styleId="8">
    <w:name w:val="Body Text First Indent 2"/>
    <w:qFormat/>
    <w:uiPriority w:val="0"/>
    <w:pPr>
      <w:widowControl w:val="0"/>
      <w:spacing w:after="0"/>
      <w:ind w:left="420" w:leftChars="200"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1">
    <w:name w:val="_Style 35"/>
    <w:next w:val="1"/>
    <w:qFormat/>
    <w:uiPriority w:val="0"/>
    <w:pPr>
      <w:widowControl w:val="0"/>
      <w:pBdr>
        <w:bottom w:val="single" w:color="auto" w:sz="6" w:space="1"/>
      </w:pBdr>
      <w:jc w:val="center"/>
    </w:pPr>
    <w:rPr>
      <w:rFonts w:ascii="Arial" w:eastAsia="宋体" w:hAnsiTheme="minorHAnsi" w:cstheme="minorBidi"/>
      <w:vanish/>
      <w:kern w:val="2"/>
      <w:sz w:val="16"/>
      <w:szCs w:val="24"/>
      <w:lang w:val="en-US" w:eastAsia="zh-CN" w:bidi="ar-SA"/>
    </w:rPr>
  </w:style>
  <w:style w:type="paragraph" w:customStyle="1" w:styleId="12">
    <w:name w:val="_Style 24"/>
    <w:next w:val="1"/>
    <w:qFormat/>
    <w:uiPriority w:val="0"/>
    <w:pPr>
      <w:widowControl w:val="0"/>
      <w:pBdr>
        <w:bottom w:val="single" w:color="auto" w:sz="6" w:space="1"/>
      </w:pBdr>
      <w:jc w:val="center"/>
    </w:pPr>
    <w:rPr>
      <w:rFonts w:ascii="Arial" w:eastAsia="宋体" w:hAnsiTheme="minorHAnsi" w:cstheme="minorBidi"/>
      <w:vanish/>
      <w:kern w:val="2"/>
      <w:sz w:val="16"/>
      <w:szCs w:val="24"/>
      <w:lang w:val="en-US" w:eastAsia="zh-CN" w:bidi="ar-SA"/>
    </w:rPr>
  </w:style>
  <w:style w:type="paragraph" w:customStyle="1" w:styleId="13">
    <w:name w:val="_Style 36"/>
    <w:next w:val="1"/>
    <w:qFormat/>
    <w:uiPriority w:val="0"/>
    <w:pPr>
      <w:widowControl w:val="0"/>
      <w:pBdr>
        <w:top w:val="single" w:color="auto" w:sz="6" w:space="1"/>
      </w:pBdr>
      <w:jc w:val="center"/>
    </w:pPr>
    <w:rPr>
      <w:rFonts w:ascii="Arial" w:eastAsia="宋体" w:hAnsiTheme="minorHAnsi" w:cstheme="minorBidi"/>
      <w:vanish/>
      <w:kern w:val="2"/>
      <w:sz w:val="16"/>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2020-11-11T02:28:00Z</dcterms:created>
  <dc:creator>Administrator</dc:creator>
  <cp:lastModifiedBy>的哥</cp:lastModifiedBy>
  <cp:lastPrinted>2020-11-16T01:29:58Z</cp:lastPrinted>
  <dcterms:modified xsi:type="dcterms:W3CDTF">2020-11-16T01:30:01Z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